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0173" w14:textId="77777777" w:rsidR="00C563EE" w:rsidRDefault="00C563EE">
      <w:pPr>
        <w:pStyle w:val="Ttulo"/>
      </w:pPr>
    </w:p>
    <w:p w14:paraId="44AF4A4E" w14:textId="77777777" w:rsidR="00C563EE" w:rsidRDefault="00C563EE">
      <w:pPr>
        <w:pStyle w:val="Ttulo"/>
      </w:pPr>
    </w:p>
    <w:p w14:paraId="13C26EA7" w14:textId="77777777" w:rsidR="00C563EE" w:rsidRDefault="00C563EE">
      <w:pPr>
        <w:pStyle w:val="Ttulo"/>
      </w:pPr>
    </w:p>
    <w:p w14:paraId="25456D46" w14:textId="77777777" w:rsidR="00287FC2" w:rsidRPr="00287FC2" w:rsidRDefault="00287FC2" w:rsidP="00287FC2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Las Unidades Productivas y/o MiPymes deben cumplir con las siguientes características para participar en el programa:  </w:t>
      </w:r>
    </w:p>
    <w:p w14:paraId="737DE6AD" w14:textId="77777777" w:rsidR="00287FC2" w:rsidRPr="00287FC2" w:rsidRDefault="00287FC2" w:rsidP="00287FC2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709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Las Unidades productivas o MiPymes postulantes pueden o no contar con RUT y/o Registro mercantil. Ninguno de los dos casos es excluyente.  </w:t>
      </w:r>
    </w:p>
    <w:p w14:paraId="4007694B" w14:textId="77777777" w:rsidR="00287FC2" w:rsidRPr="00287FC2" w:rsidRDefault="00287FC2" w:rsidP="00287FC2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709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 xml:space="preserve">Desarrollo de la actividad económica priorizada: Unidades productivas y/o </w:t>
      </w:r>
      <w:proofErr w:type="spellStart"/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Mipymes</w:t>
      </w:r>
      <w:proofErr w:type="spellEnd"/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 xml:space="preserve"> que cuenten con mínimo 12 meses de antigüedad en el desarrollo de la actividad económica. </w:t>
      </w:r>
    </w:p>
    <w:p w14:paraId="775F3231" w14:textId="77777777" w:rsidR="00287FC2" w:rsidRPr="00287FC2" w:rsidRDefault="00287FC2" w:rsidP="00287FC2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709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Mínimo dos personas vinculadas a la MiPymes y/o unidad productiva mayores de edad. </w:t>
      </w:r>
    </w:p>
    <w:p w14:paraId="1A157ABD" w14:textId="77777777" w:rsidR="00287FC2" w:rsidRPr="00287FC2" w:rsidRDefault="00287FC2" w:rsidP="00287FC2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709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Se priorizarán aquellas MiPymes y/o unidades productivas que se enmarquen bajo el concepto de economía popular.  </w:t>
      </w:r>
    </w:p>
    <w:p w14:paraId="45125EBB" w14:textId="77777777" w:rsidR="00287FC2" w:rsidRPr="00287FC2" w:rsidRDefault="00287FC2" w:rsidP="00287FC2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709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Organizaciones (asociaciones, cooperativas, micros, pequeñas y medianas empresas) de pequeños productores y/o transformadores de alimentos que generen valor agregado para el proceso de comercialización. </w:t>
      </w:r>
    </w:p>
    <w:p w14:paraId="6CC8FD01" w14:textId="77777777" w:rsidR="00287FC2" w:rsidRPr="00287FC2" w:rsidRDefault="00287FC2" w:rsidP="00287FC2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/>
        <w:ind w:left="709" w:hanging="7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287FC2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Ubicadas geográficamente en el municipio priorizado y territorios aledaños</w:t>
      </w:r>
    </w:p>
    <w:p w14:paraId="1D01C373" w14:textId="77777777" w:rsidR="0042275A" w:rsidRPr="00287FC2" w:rsidRDefault="0042275A">
      <w:pPr>
        <w:pStyle w:val="Textoindependiente"/>
        <w:rPr>
          <w:rFonts w:ascii="Segoe UI"/>
          <w:sz w:val="22"/>
          <w:lang w:val="es-CO"/>
        </w:rPr>
      </w:pPr>
    </w:p>
    <w:p w14:paraId="67B3CE45" w14:textId="77777777" w:rsidR="0042275A" w:rsidRDefault="0042275A">
      <w:pPr>
        <w:pStyle w:val="Textoindependiente"/>
        <w:spacing w:before="244"/>
        <w:rPr>
          <w:rFonts w:ascii="Segoe UI"/>
          <w:sz w:val="22"/>
        </w:rPr>
      </w:pPr>
    </w:p>
    <w:p w14:paraId="77FD0F72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42467536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240B6891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64B7553F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684E322B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1AE7851F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3EEAC683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4FCE57AC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3A063149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1A9D8228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2796FAB2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661C410C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64F86703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2894CF62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6FE4AEA7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330D2485" w14:textId="77777777" w:rsidR="00C563EE" w:rsidRDefault="00C563EE">
      <w:pPr>
        <w:pStyle w:val="Textoindependiente"/>
        <w:rPr>
          <w:rFonts w:ascii="Times New Roman"/>
          <w:sz w:val="20"/>
        </w:rPr>
      </w:pPr>
    </w:p>
    <w:p w14:paraId="1A3ED2DE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772C4C3D" w14:textId="77777777" w:rsidR="0042275A" w:rsidRDefault="0042275A">
      <w:pPr>
        <w:pStyle w:val="Textoindependiente"/>
        <w:rPr>
          <w:rFonts w:ascii="Times New Roman"/>
          <w:sz w:val="20"/>
        </w:rPr>
      </w:pPr>
    </w:p>
    <w:p w14:paraId="7975A5D6" w14:textId="77777777" w:rsidR="0042275A" w:rsidRDefault="00C563EE">
      <w:pPr>
        <w:pStyle w:val="Textoindependiente"/>
        <w:spacing w:before="164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5DF9DF" wp14:editId="5D47A4CB">
                <wp:simplePos x="0" y="0"/>
                <wp:positionH relativeFrom="page">
                  <wp:posOffset>914400</wp:posOffset>
                </wp:positionH>
                <wp:positionV relativeFrom="paragraph">
                  <wp:posOffset>265413</wp:posOffset>
                </wp:positionV>
                <wp:extent cx="18288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6FF5" id="Graphic 1" o:spid="_x0000_s1026" style="position:absolute;margin-left:1in;margin-top:20.9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67EF51" w14:textId="77777777" w:rsidR="0042275A" w:rsidRDefault="00C563EE">
      <w:pPr>
        <w:pStyle w:val="Textoindependiente"/>
        <w:spacing w:before="107"/>
        <w:ind w:left="100" w:right="118"/>
        <w:jc w:val="both"/>
      </w:pPr>
      <w:r>
        <w:t>1 Se adopta el concepto de formalización incluido en el CONPES Nacional de Formalización 3956 del 2019, en el cual se define formalidad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RUT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Mercantil.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vinculan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definiciones</w:t>
      </w:r>
      <w:r>
        <w:rPr>
          <w:spacing w:val="-5"/>
        </w:rPr>
        <w:t xml:space="preserve"> </w:t>
      </w:r>
      <w:r>
        <w:t>definidas en el CONPES.</w:t>
      </w:r>
    </w:p>
    <w:p w14:paraId="7B54B18A" w14:textId="77777777" w:rsidR="0042275A" w:rsidRDefault="00C563EE">
      <w:pPr>
        <w:pStyle w:val="Textoindependiente"/>
        <w:spacing w:before="3"/>
        <w:ind w:left="100" w:right="117"/>
        <w:jc w:val="both"/>
      </w:pPr>
      <w:r>
        <w:t>2 Los 12 meses pueden ser contados a partir de la expedición del RUT y/o Registro Mercantil, y/o un dato declarativo por parte del</w:t>
      </w:r>
      <w:r>
        <w:rPr>
          <w:spacing w:val="-2"/>
        </w:rPr>
        <w:t xml:space="preserve"> </w:t>
      </w:r>
      <w:r>
        <w:t>participante.</w:t>
      </w:r>
    </w:p>
    <w:p w14:paraId="7B2C0765" w14:textId="77777777" w:rsidR="0042275A" w:rsidRDefault="00C563EE">
      <w:pPr>
        <w:pStyle w:val="Textoindependiente"/>
        <w:spacing w:line="217" w:lineRule="exact"/>
        <w:ind w:left="100"/>
        <w:jc w:val="both"/>
      </w:pPr>
      <w:r>
        <w:t>3</w:t>
      </w:r>
      <w:r>
        <w:rPr>
          <w:spacing w:val="-6"/>
        </w:rPr>
        <w:t xml:space="preserve"> </w:t>
      </w:r>
      <w:r>
        <w:t>Vinculadas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contratación.</w:t>
      </w:r>
    </w:p>
    <w:p w14:paraId="6324AF17" w14:textId="77777777" w:rsidR="0042275A" w:rsidRDefault="00C563EE">
      <w:pPr>
        <w:pStyle w:val="Textoindependiente"/>
        <w:spacing w:before="1"/>
        <w:ind w:left="100" w:right="114"/>
        <w:jc w:val="both"/>
      </w:pPr>
      <w:r>
        <w:t>4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economía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refiere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oficios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ocupaciones</w:t>
      </w:r>
      <w:r>
        <w:rPr>
          <w:spacing w:val="-4"/>
        </w:rPr>
        <w:t xml:space="preserve"> </w:t>
      </w:r>
      <w:r>
        <w:t>mercantiles</w:t>
      </w:r>
      <w:r>
        <w:rPr>
          <w:spacing w:val="-4"/>
        </w:rPr>
        <w:t xml:space="preserve"> </w:t>
      </w:r>
      <w:r>
        <w:t>(producción,</w:t>
      </w:r>
      <w:r>
        <w:rPr>
          <w:spacing w:val="-3"/>
        </w:rPr>
        <w:t xml:space="preserve"> </w:t>
      </w:r>
      <w:r>
        <w:t>distribución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comercialización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 servicios) y no mercantiles (domésticas o comunitarias) desarrolladas por unidades económicas de baja escala (personales, familiares,</w:t>
      </w:r>
      <w:r>
        <w:rPr>
          <w:spacing w:val="-5"/>
        </w:rPr>
        <w:t xml:space="preserve"> </w:t>
      </w:r>
      <w:r>
        <w:t>micro negocios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microempresas),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económico.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EP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actividades de manera individual, en unidades económicas, u organizados de manera asociativa. Concepto tomado de las Bases del PND Colombia, Potencia Mundial de la Vida. Es importante resaltar que, las formas asociativas podrán</w:t>
      </w:r>
      <w:r>
        <w:rPr>
          <w:spacing w:val="-1"/>
        </w:rPr>
        <w:t xml:space="preserve"> </w:t>
      </w:r>
      <w:r>
        <w:t>ser beneficiarias en</w:t>
      </w:r>
      <w:r>
        <w:rPr>
          <w:spacing w:val="-1"/>
        </w:rPr>
        <w:t xml:space="preserve"> </w:t>
      </w:r>
      <w:r>
        <w:t>cabeza</w:t>
      </w:r>
      <w:r>
        <w:rPr>
          <w:spacing w:val="-2"/>
        </w:rPr>
        <w:t xml:space="preserve"> </w:t>
      </w:r>
      <w:r>
        <w:t>de un líder o representante seleccionados por el colectivo.</w:t>
      </w:r>
    </w:p>
    <w:sectPr w:rsidR="0042275A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46E"/>
    <w:multiLevelType w:val="hybridMultilevel"/>
    <w:tmpl w:val="1E6A4670"/>
    <w:lvl w:ilvl="0" w:tplc="C144D3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AEA04BE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2570A2B0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D58CD9A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E61A1BE6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95BE1594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3528B33E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EF2CFDDC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8506AC1A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F4380E"/>
    <w:multiLevelType w:val="multilevel"/>
    <w:tmpl w:val="6CB8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190609">
    <w:abstractNumId w:val="0"/>
  </w:num>
  <w:num w:numId="2" w16cid:durableId="149306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5A"/>
    <w:rsid w:val="0009676D"/>
    <w:rsid w:val="00287FC2"/>
    <w:rsid w:val="003500DF"/>
    <w:rsid w:val="0042275A"/>
    <w:rsid w:val="004F1377"/>
    <w:rsid w:val="00C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023E1"/>
  <w15:docId w15:val="{91FB615E-44DE-4DFD-B1A6-46A31105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2"/>
      <w:ind w:left="100" w:righ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right="117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Criterios de Selección Zasca .docx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Criterios de Selección Zasca .docx</dc:title>
  <dc:creator>NITRO</dc:creator>
  <cp:lastModifiedBy>Oscar Duban Uribe Parra</cp:lastModifiedBy>
  <cp:revision>4</cp:revision>
  <dcterms:created xsi:type="dcterms:W3CDTF">2024-05-21T02:00:00Z</dcterms:created>
  <dcterms:modified xsi:type="dcterms:W3CDTF">2024-06-21T00:56:00Z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Versión 12.6.1 (Compilación 21G217) Quartz PDFContext</vt:lpwstr>
  </property>
</Properties>
</file>